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78" w:rsidRDefault="00483879">
      <w:pPr>
        <w:autoSpaceDE w:val="0"/>
        <w:spacing w:after="0"/>
        <w:jc w:val="right"/>
      </w:pPr>
      <w:bookmarkStart w:id="0" w:name="_GoBack"/>
      <w:bookmarkEnd w:id="0"/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Suchy Las, dnia 29.11.2016 r.</w:t>
      </w: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>Załącznik nr 1 do zapytania ofertowego NICKEL/NR1/2016</w:t>
      </w:r>
    </w:p>
    <w:p w:rsidR="00942D78" w:rsidRDefault="00483879">
      <w:pPr>
        <w:spacing w:after="0"/>
      </w:pP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>Formularz ofertowy</w:t>
      </w: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autoSpaceDE w:val="0"/>
        <w:spacing w:after="0"/>
        <w:jc w:val="center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Oferta dla firmy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„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</w:p>
    <w:p w:rsidR="00942D78" w:rsidRDefault="00483879">
      <w:pPr>
        <w:autoSpaceDE w:val="0"/>
        <w:spacing w:after="0"/>
        <w:jc w:val="center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ul. Krzemowa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1, 62-002 Suchy Las</w:t>
      </w:r>
    </w:p>
    <w:p w:rsidR="00942D78" w:rsidRDefault="00483879">
      <w:pPr>
        <w:autoSpaceDE w:val="0"/>
        <w:spacing w:after="0"/>
        <w:jc w:val="center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tel. +</w:t>
      </w:r>
      <w:r>
        <w:rPr>
          <w:rFonts w:ascii="Calibri Light" w:eastAsia="Times New Roman" w:hAnsi="Calibri Light" w:cs="Tahoma"/>
          <w:bCs/>
          <w:iCs/>
          <w:sz w:val="20"/>
          <w:szCs w:val="20"/>
          <w:lang w:eastAsia="pl-PL"/>
        </w:rPr>
        <w:t>48 61 65 85 499 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; fax. </w:t>
      </w:r>
      <w:r>
        <w:rPr>
          <w:rFonts w:ascii="Calibri Light" w:eastAsia="Times New Roman" w:hAnsi="Calibri Light" w:cs="Tahoma"/>
          <w:bCs/>
          <w:iCs/>
          <w:sz w:val="20"/>
          <w:szCs w:val="20"/>
          <w:lang w:val="en-US" w:eastAsia="pl-PL"/>
        </w:rPr>
        <w:t>+48 61 65 85 498</w:t>
      </w: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>;</w:t>
      </w:r>
    </w:p>
    <w:p w:rsidR="00942D78" w:rsidRDefault="00483879">
      <w:pPr>
        <w:autoSpaceDE w:val="0"/>
        <w:spacing w:after="0"/>
        <w:jc w:val="center"/>
      </w:pP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e- mail: </w:t>
      </w:r>
      <w:hyperlink r:id="rId8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biuro@younick.pl</w:t>
        </w:r>
      </w:hyperlink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; strona www: </w:t>
      </w:r>
      <w:hyperlink r:id="rId9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http://www.younick.pl</w:t>
        </w:r>
      </w:hyperlink>
    </w:p>
    <w:p w:rsidR="00942D78" w:rsidRDefault="00942D78">
      <w:pPr>
        <w:spacing w:after="0"/>
        <w:jc w:val="center"/>
        <w:rPr>
          <w:rFonts w:ascii="Calibri Light" w:hAnsi="Calibri Light"/>
          <w:sz w:val="20"/>
          <w:szCs w:val="20"/>
          <w:lang w:val="en-US"/>
        </w:rPr>
      </w:pPr>
    </w:p>
    <w:p w:rsidR="00942D78" w:rsidRDefault="00942D78">
      <w:pPr>
        <w:spacing w:after="0"/>
        <w:jc w:val="center"/>
        <w:rPr>
          <w:rFonts w:ascii="Calibri Light" w:hAnsi="Calibri Light"/>
          <w:sz w:val="20"/>
          <w:szCs w:val="20"/>
          <w:lang w:val="en-US"/>
        </w:rPr>
      </w:pPr>
    </w:p>
    <w:p w:rsidR="00942D78" w:rsidRDefault="00942D78">
      <w:pPr>
        <w:spacing w:after="0"/>
        <w:jc w:val="center"/>
        <w:rPr>
          <w:rFonts w:ascii="Calibri Light" w:hAnsi="Calibri Light"/>
          <w:sz w:val="20"/>
          <w:szCs w:val="20"/>
          <w:lang w:val="en-US"/>
        </w:rPr>
      </w:pPr>
    </w:p>
    <w:p w:rsidR="00942D78" w:rsidRDefault="00942D78">
      <w:pPr>
        <w:spacing w:after="0"/>
        <w:jc w:val="center"/>
        <w:rPr>
          <w:rFonts w:ascii="Calibri Light" w:eastAsia="Times New Roman" w:hAnsi="Calibri Light" w:cs="Calibri"/>
          <w:sz w:val="20"/>
          <w:szCs w:val="20"/>
          <w:lang w:val="en-US" w:eastAsia="ar-SA"/>
        </w:rPr>
      </w:pPr>
    </w:p>
    <w:p w:rsidR="00942D78" w:rsidRDefault="00483879">
      <w:pPr>
        <w:spacing w:after="0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odpowiedzi na zapytanie ofertowe z dnia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 ……………… 2016 r.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. dotyczące </w:t>
      </w:r>
    </w:p>
    <w:p w:rsidR="00942D78" w:rsidRDefault="00942D78">
      <w:pPr>
        <w:spacing w:after="0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942D78" w:rsidRDefault="00483879">
      <w:p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>Przeprowadzenia doradztw w ramach 4 działań tj.</w:t>
      </w:r>
    </w:p>
    <w:p w:rsidR="00942D78" w:rsidRDefault="00942D78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942D78" w:rsidRDefault="0048387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spacing w:after="200"/>
        <w:jc w:val="both"/>
        <w:textAlignment w:val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Doradztwo i audyt w zakresie ochrony, bezpieczeństwa i zarządzania danymi, w tym szczególnie bezpieczeństwo informatyczne i prawne;</w:t>
      </w:r>
    </w:p>
    <w:p w:rsidR="00942D78" w:rsidRDefault="0048387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spacing w:after="200"/>
        <w:jc w:val="both"/>
        <w:textAlignment w:val="auto"/>
      </w:pPr>
      <w:r>
        <w:rPr>
          <w:rFonts w:ascii="Calibri Light" w:hAnsi="Calibri Light" w:cs="Arial"/>
          <w:sz w:val="20"/>
          <w:szCs w:val="20"/>
        </w:rPr>
        <w:t>Doradztwo w obszarze oznakowania, tworzenia krótki serii produkcyjnych oraz polityki materiałowej z zakresu surowców sztucznych oraz naturalnych, w tym  szcz</w:t>
      </w:r>
      <w:r>
        <w:rPr>
          <w:rFonts w:ascii="Calibri Light" w:hAnsi="Calibri Light" w:cs="Arial"/>
          <w:sz w:val="20"/>
          <w:szCs w:val="20"/>
        </w:rPr>
        <w:t>e</w:t>
      </w:r>
      <w:r>
        <w:rPr>
          <w:rFonts w:ascii="Calibri Light" w:hAnsi="Calibri Light" w:cs="Arial"/>
          <w:sz w:val="20"/>
          <w:szCs w:val="20"/>
        </w:rPr>
        <w:t>gólnie  badania materiałowe;</w:t>
      </w:r>
    </w:p>
    <w:p w:rsidR="00942D78" w:rsidRDefault="0048387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spacing w:after="200"/>
        <w:jc w:val="both"/>
        <w:textAlignment w:val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Doradztwo w zakresie koncepcji technologicznej/technicznej rozwiązań </w:t>
      </w:r>
      <w:r>
        <w:rPr>
          <w:rFonts w:ascii="Calibri Light" w:hAnsi="Calibri Light" w:cs="Arial"/>
          <w:sz w:val="20"/>
          <w:szCs w:val="20"/>
        </w:rPr>
        <w:t>mobilnych (aplikacji on-line);</w:t>
      </w:r>
    </w:p>
    <w:p w:rsidR="00942D78" w:rsidRDefault="00483879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spacing w:after="200"/>
        <w:jc w:val="both"/>
        <w:textAlignment w:val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Doradztwo w zakresie prowadzenia skutecznych badań pogłębionych.</w:t>
      </w:r>
    </w:p>
    <w:p w:rsidR="00942D78" w:rsidRDefault="00483879">
      <w:pPr>
        <w:spacing w:after="0"/>
        <w:jc w:val="both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związanych z projektem</w:t>
      </w: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 xml:space="preserve">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pn. </w:t>
      </w:r>
      <w:r>
        <w:rPr>
          <w:rFonts w:ascii="Calibri Light" w:eastAsia="Times New Roman" w:hAnsi="Calibri Light" w:cs="Arial"/>
          <w:i/>
          <w:sz w:val="20"/>
          <w:szCs w:val="20"/>
          <w:lang w:eastAsia="ar-SA"/>
        </w:rPr>
        <w:t>„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Wzrost kompetencji firmy NTPP Sp. z o.o. w obszarze zaawansowanych usług prototypowania oraz testowania zarówno produktów jak i usłu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g świadczonych na rzecz regionalnych przedsiębiorstw</w:t>
      </w:r>
      <w:r>
        <w:rPr>
          <w:rFonts w:ascii="Calibri Light" w:eastAsia="Times New Roman" w:hAnsi="Calibri Light" w:cs="Arial"/>
          <w:i/>
          <w:sz w:val="20"/>
          <w:szCs w:val="20"/>
          <w:lang w:eastAsia="ar-SA"/>
        </w:rPr>
        <w:t xml:space="preserve">”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składam niniejszą ofertę na wykonanie w/w zamówienia.</w:t>
      </w:r>
    </w:p>
    <w:p w:rsidR="00942D78" w:rsidRDefault="00942D78">
      <w:p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both"/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>I. Nazwa i dane adresowe wykonawcy</w:t>
      </w: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Nazwa: ………………………………………………………………………………………………………………………………………………</w:t>
      </w:r>
    </w:p>
    <w:p w:rsidR="00942D78" w:rsidRDefault="00483879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Adres: ……………………………………………………………………………………………………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…………………………………………..</w:t>
      </w:r>
    </w:p>
    <w:p w:rsidR="00942D78" w:rsidRDefault="00483879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NIP: ……………………………………………………………………</w:t>
      </w: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 xml:space="preserve">II. Warunki oferty </w:t>
      </w: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4695"/>
        <w:gridCol w:w="1137"/>
        <w:gridCol w:w="1342"/>
        <w:gridCol w:w="1586"/>
        <w:gridCol w:w="1622"/>
        <w:gridCol w:w="1281"/>
      </w:tblGrid>
      <w:tr w:rsidR="00942D7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zadania i nazwa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Opis świadczonych usług doradczych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Zaplanowana liczba godzin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Okres realizacji usługi</w:t>
            </w:r>
          </w:p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netto (PLN)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Brutto (PLN)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Stawka VAT (PLN)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D78" w:rsidRDefault="00483879">
            <w:pPr>
              <w:autoSpaceDE w:val="0"/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1. Doradztwo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 i audyt w zakresie ochrony, bezpieczeństwa i zarządzania danymi, w tym szczególnie bezpieczeństwo informatyczne i prawne.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autoSpaceDE w:val="0"/>
              <w:spacing w:after="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Zakres doradztwa:</w:t>
            </w:r>
          </w:p>
          <w:p w:rsidR="00942D78" w:rsidRDefault="00942D78">
            <w:pPr>
              <w:autoSpaceDE w:val="0"/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1. Polityki bezpieczeństwa informacji w trzech obszarach: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polityki bezpieczeństwa całościowej;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polityki </w:t>
            </w:r>
            <w:r>
              <w:rPr>
                <w:rFonts w:ascii="Calibri Light" w:hAnsi="Calibri Light"/>
                <w:sz w:val="20"/>
                <w:szCs w:val="20"/>
              </w:rPr>
              <w:t>bezpieczeństwa w rozumieniu Ustawy o Ochronie Danych Osobowych;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polityki bezpieczeństwa wybranych zbiorów IT.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2. Ochrona danych osobowych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analiza zakresu i sposobu gromadzenia i przechowywania danych osobowych;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doradztwo w zakresie możliwych do wpro</w:t>
            </w:r>
            <w:r>
              <w:rPr>
                <w:rFonts w:ascii="Calibri Light" w:hAnsi="Calibri Light"/>
                <w:sz w:val="20"/>
                <w:szCs w:val="20"/>
              </w:rPr>
              <w:t>wadzenia środków służących uniemożliwieniu nieuprawnionego dostępu do systemu informatycznego;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logiczne i fizyczne środki ochrony zastosowane przy komunikacji systemu z siecią publiczną;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mechanizmy odnotowywania określonych zmian w bazie danych;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/>
                <w:sz w:val="20"/>
                <w:szCs w:val="20"/>
              </w:rPr>
              <w:t>przyjęta polityka haseł;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wykonywanie kopii zapasowych, ich przechowywanie, przenoszenie i utylizacja.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3. System zarządzania bezpieczeństwem informacji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polityka bezpieczeństwa informacji;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organizacja bezpieczeństwa informacji;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zarządzanie aktywami;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bezpieczeństwo osobowego;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bezpieczeństwo fizyczne i środowiskowe;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zarządzanie systemami i sieciami;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kontrola dostępu;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uzyskiwanie, rozwój i utrzymanie systemów informacyjnych;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zarządzanie incydentami związanymi z bezpieczeństwem informacji;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/>
                <w:sz w:val="20"/>
                <w:szCs w:val="20"/>
              </w:rPr>
              <w:t>zarządzanie ciągłością działania;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zgodność.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</w:pPr>
            <w:r>
              <w:rPr>
                <w:rFonts w:ascii="Calibri Light" w:hAnsi="Calibri Light"/>
                <w:b/>
                <w:sz w:val="20"/>
                <w:szCs w:val="20"/>
              </w:rPr>
              <w:t>4. Doradztwo w zakresie certyfikacji lokalizacji centrów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przetwarzania danych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 obszarze infrastrukturalnym telekomunikacyjnym (fizyczne sieci, elementy bierne);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- w obszarze infrastrukturalnym elektrycznym </w:t>
            </w:r>
            <w:r>
              <w:rPr>
                <w:rFonts w:ascii="Calibri Light" w:hAnsi="Calibri Light"/>
                <w:sz w:val="20"/>
                <w:szCs w:val="20"/>
              </w:rPr>
              <w:t>(dostawa i dystrybucja energii);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 obszarze infrastrukturalnym architektonicznym (architektura i bezpieczeństwo fizyczne);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w obszarze infrastrukturalnym mechanicznym (technika klimatyzacji, wentylacji, konstrukcji).</w:t>
            </w:r>
          </w:p>
          <w:p w:rsidR="00942D78" w:rsidRDefault="00942D78">
            <w:pPr>
              <w:autoSpaceDE w:val="0"/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  <w:u w:val="single"/>
              </w:rPr>
              <w:t>Doradztwo umożliwi NTPP sp. z o.o.: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1. świadczenie usług dla jednostek związanych z działaniami opartymi na danych wrażliwych (placówki medyczne, firmy farmaceutyczne, banki danych) poprzez zwiększenie bezpieczeństwa zarządzania danymi pozyskanie niezbędnych certyfikacji zgodnych z </w:t>
            </w:r>
            <w:r>
              <w:rPr>
                <w:rFonts w:ascii="Calibri Light" w:hAnsi="Calibri Light"/>
                <w:sz w:val="20"/>
                <w:szCs w:val="20"/>
              </w:rPr>
              <w:lastRenderedPageBreak/>
              <w:t>wymagan</w:t>
            </w:r>
            <w:r>
              <w:rPr>
                <w:rFonts w:ascii="Calibri Light" w:hAnsi="Calibri Light"/>
                <w:sz w:val="20"/>
                <w:szCs w:val="20"/>
              </w:rPr>
              <w:t>iami art. 36 ust. 2 oraz art. 39a ustawy z dnia 29 sierpnia 1997 r. o ochronie danych osobowych (tekst jednolity: Dz. U. 2002 r. Nr 101 poz. 926, ze zm.) oraz § 3 i § 4 rozporządzenia Ministra Spraw Wewnętrznych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 Administracji z dnia 29 kwietnia 2004 r., </w:t>
            </w:r>
            <w:r>
              <w:rPr>
                <w:rFonts w:ascii="Calibri Light" w:hAnsi="Calibri Light"/>
                <w:sz w:val="20"/>
                <w:szCs w:val="20"/>
              </w:rPr>
              <w:t>w sprawie dokumentacji przetwarzania danych osobowych oraz warunków technicznych i organizacyjnych, jakim powinny odpowiadać urządzenia i systemy informatyczne służące do przetwarzania danych osobowych (Dz. U. Nr 100 poz. 1024).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2. Zapewnienie firmie NTPP</w:t>
            </w:r>
            <w:r>
              <w:rPr>
                <w:rFonts w:ascii="Calibri Light" w:hAnsi="Calibri Light"/>
                <w:sz w:val="20"/>
                <w:szCs w:val="20"/>
              </w:rPr>
              <w:t xml:space="preserve"> wzrostu konkurencyjności świadczonych usług poprzez zapewnienie ochrony danych przekazywanych przez Wnioskodawcę w zakresie: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poufności informacji;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integralności informacji (zapobieganie nieautoryzowanym zmianom w danych);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dostępności informacji (dos</w:t>
            </w:r>
            <w:r>
              <w:rPr>
                <w:rFonts w:ascii="Calibri Light" w:hAnsi="Calibri Light"/>
                <w:sz w:val="20"/>
                <w:szCs w:val="20"/>
              </w:rPr>
              <w:t>tępność informacji w każdym momencie na żądanie);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- rozliczalności operacji wykonywanych na powierzonych i zgormadzonych informacjach (przechowywanie pełnej historii dostępu do danych wraz z informacją o tym kto taki dostęp uzyskał).</w:t>
            </w:r>
          </w:p>
          <w:p w:rsidR="00942D78" w:rsidRDefault="00942D78">
            <w:pPr>
              <w:autoSpaceDE w:val="0"/>
              <w:spacing w:after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16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32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16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ind w:left="65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D78" w:rsidRDefault="00483879">
            <w:pPr>
              <w:autoSpaceDE w:val="0"/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lastRenderedPageBreak/>
              <w:t>2. Doradztwo w obszarze</w:t>
            </w:r>
          </w:p>
          <w:p w:rsidR="00942D78" w:rsidRDefault="00483879">
            <w:pPr>
              <w:autoSpaceDE w:val="0"/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oznakowania, tworzenia krótkich serii produkcyjnych oraz polityki materiałowej z zakresu surowców sztucznych oraz</w:t>
            </w:r>
          </w:p>
          <w:p w:rsidR="00942D78" w:rsidRDefault="00483879">
            <w:pPr>
              <w:autoSpaceDE w:val="0"/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naturalnych, w tym szczególnie badania materiałów.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  <w:t>Zakres doradztwa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 xml:space="preserve">1. Określanie </w:t>
            </w: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polityki materiałowej: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weryfikacja typów produktu dla zastosowań;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wybór metody uszlachetnień materiałów;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metodologia tworzenia szkicy koncepcyjnych, konstrukcyjnych, makiet 3D i próbek ploterowych;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metodologie tworzenia wariatów graficznych.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lastRenderedPageBreak/>
              <w:t xml:space="preserve">2. </w:t>
            </w: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Testy jakościowe i własnościowe materiałów, badania wytrzymałościowe materiałów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właściwości mechanicznych;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badanie właściwości termicznych;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właściwości elektrycznych;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właściwości magnetycznych;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właściwości optyczny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właściwości chemicznych;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badania innych właściwości fizycznych.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3. Testy bezpieczeństwa materiałów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wymagania bezpieczeństwa materiałów we wskazanych sektorach przemysłowych (meblarskim, spożywczym, kosmetycznym).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 xml:space="preserve">4. Przygotowanie planu </w:t>
            </w: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ochrony wzornictwa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ustawowych warunków rejestracji wzorów przemysłowych;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wyłączeń z możliwości rejestracji;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zakres badań wzorów w trybie krajowym;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zakres ochrony wzoru;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roszczeń z tyt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ułu naruszenia prawa rejestracji wzoru przemysłowego.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</w:pPr>
            <w:r>
              <w:rPr>
                <w:rFonts w:ascii="Calibri Light" w:hAnsi="Calibri Light" w:cs="DejaVuSansCondensed"/>
                <w:sz w:val="20"/>
                <w:szCs w:val="20"/>
                <w:u w:val="single"/>
                <w:lang w:eastAsia="pl-PL"/>
              </w:rPr>
              <w:t xml:space="preserve">Doradztwo umożliwi firmie NTPP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świadczenia usług w obszarze kompleksowej polityki materiałowej w zakresie własności mechanicznej materiałów, elementów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konstrukcji, badań zmęczeniowych, badań dynamiczn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ych oraz testów bezpieczeństwa.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Pozwoli na świadczenie usług doradczych związanych z ochroną wzornictwa w obszarze czystości patentowej. Pozwoli na świadczenie usług doradczych w zakresie bezpieczeństwa materiałowego dla przemysłu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lastRenderedPageBreak/>
              <w:t xml:space="preserve">spożywczego,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farmaceutycznego, meblarskiego.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Pozwoli NTPP sp. z o.o. na prowadzenia procesu personalizacji komunikacji wizualnej w zakresie brandingu. Umożliwi zwiększenie zakresu świadczenia usług doradczych i projektowych w obszarze rozwiązań personalizujących w zakr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esie opakowań dla produktów i usług poprzez doradztwo w zakresie uszlachetniania materiałów, kompleksowej polityki materiałowej.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Doradztwo pozwoli na dostarczenie na rynek usług realizacji prac w obszarze projektowania opakowań dla produktów i usług w zakr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esie szkiców koncepcyjnych, wariantów graficznych i przygotowania projektów końcowych.</w:t>
            </w:r>
          </w:p>
          <w:p w:rsidR="00942D78" w:rsidRDefault="00942D78">
            <w:pPr>
              <w:autoSpaceDE w:val="0"/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46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lastRenderedPageBreak/>
              <w:t>46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30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ind w:left="72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D78" w:rsidRDefault="00483879">
            <w:pPr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lastRenderedPageBreak/>
              <w:t>3. Doradztwo w zakresie koncepcji technologicznej/technicznej rozwiązań mobilnych (aplikacji on-line).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  <w:t>Zakres doradztwa: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u w:val="single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przygotowywanie projektów koncepcyjnych uwzględniającą wymogi aplikacji pod kątem potrzeb użytkownika głównego;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tworzenia dokumentacji technologicznej/technicznej;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- opracowywanie prototypu funkcjonalnego, budowa logicznego modelu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aplikacji obejmujące zdefiniowanie metod, procedur i funkcji występujących w aplikacji;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optymalizacja założeń projektowych i definiowania struktury aplikacji.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Doradztwo umożliwi firmie NTPP sp. z o.o. świadczenie usług w obszarze: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wypracowania i weryfikacji rozwiązań innowacyjnych aplkacji on-line;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lastRenderedPageBreak/>
              <w:t>- świadczenie usług w zakresie prac koncepcyjnych pozwalających na przeprowadzenie testów fokusowych celem sprawdzenia ich funkcjonalności o optymalizacji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zaprojektowanych rozwiązań;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świadczenie usług w zakresie projektowania aplikacji w oparciu o responsywne strony www;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świadczenie usług w zakresie projektowania aplikacji natywnych.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40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40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40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D78" w:rsidRDefault="00483879">
            <w:pPr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lastRenderedPageBreak/>
              <w:t>4. Doradztwo w zakresie</w:t>
            </w:r>
          </w:p>
          <w:p w:rsidR="00942D78" w:rsidRDefault="00483879">
            <w:pPr>
              <w:spacing w:after="0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prowadzenia skutecznych badań pogłębionych.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  <w:t xml:space="preserve">Zakres </w:t>
            </w:r>
            <w:r>
              <w:rPr>
                <w:rFonts w:ascii="Calibri Light" w:hAnsi="Calibri Light" w:cs="DejaVuSansCondensed"/>
                <w:b/>
                <w:sz w:val="20"/>
                <w:szCs w:val="20"/>
                <w:u w:val="single"/>
                <w:lang w:eastAsia="pl-PL"/>
              </w:rPr>
              <w:t>Doradztwa: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u w:val="single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doradztwo w zakresie doboru metodologii badawczej w obszarze nowych mediów, w tym wykorzystanie mediów społecznościowych oraz technik geolokalizacyjnych i systemów sieci;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- doradztwo w zakresie skutecznych badań metodologią badań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bezpośrednich ankietowych, badań behawioralnych oraz badań panelowych.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u w:val="single"/>
                <w:lang w:eastAsia="pl-PL"/>
              </w:rPr>
              <w:t>Doradztwo umożliwi firmie NTPP sp. z o.o. świadczenie usług w obszarze: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 xml:space="preserve">- prowadzenia pogłębionych badań konsumenckich w czasie rzeczywistym dzięki wykorzystaniu technologii analizy </w:t>
            </w: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obrazu i dźwięku;</w:t>
            </w:r>
          </w:p>
          <w:p w:rsidR="00942D78" w:rsidRDefault="00483879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 w:val="20"/>
                <w:szCs w:val="20"/>
                <w:lang w:eastAsia="pl-PL"/>
              </w:rPr>
              <w:t>- gromadzenia danych o klientach i pracownikach w czasie rzeczywistym umożliwiająca analizę wszystkich zachowań w danej przestrzeni.</w:t>
            </w:r>
          </w:p>
          <w:p w:rsidR="00942D78" w:rsidRDefault="00942D78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40</w:t>
            </w: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  <w:p w:rsidR="00942D78" w:rsidRDefault="00483879">
            <w:pPr>
              <w:spacing w:after="0"/>
              <w:jc w:val="center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jc w:val="center"/>
              <w:rPr>
                <w:rFonts w:ascii="Calibri Light" w:hAnsi="Calibri Light" w:cs="DejaVuSansCondensed"/>
                <w:sz w:val="20"/>
                <w:szCs w:val="20"/>
                <w:lang w:eastAsia="pl-PL"/>
              </w:rPr>
            </w:pP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Wartość Razem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after="0"/>
              <w:rPr>
                <w:rFonts w:ascii="Calibri Light" w:hAnsi="Calibri Light" w:cs="DejaVuSansCondensed"/>
                <w:b/>
                <w:sz w:val="20"/>
                <w:szCs w:val="20"/>
                <w:lang w:eastAsia="pl-PL"/>
              </w:rPr>
            </w:pPr>
          </w:p>
        </w:tc>
      </w:tr>
    </w:tbl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103"/>
        <w:gridCol w:w="3856"/>
        <w:gridCol w:w="4536"/>
      </w:tblGrid>
      <w:tr w:rsidR="00942D7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LP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Elementy oceny oferty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Parametry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after="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Jednostka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łączna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cena netto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napToGrid w:val="0"/>
              <w:spacing w:after="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napToGrid w:val="0"/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942D78" w:rsidRDefault="00483879">
            <w:pPr>
              <w:snapToGrid w:val="0"/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PLN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łączna cena brutto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napToGrid w:val="0"/>
              <w:spacing w:after="0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napToGrid w:val="0"/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PLN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D78" w:rsidRDefault="00483879">
            <w:pPr>
              <w:spacing w:after="0"/>
              <w:jc w:val="both"/>
            </w:pPr>
            <w:r>
              <w:rPr>
                <w:rFonts w:ascii="Calibri Light" w:hAnsi="Calibri Light" w:cs="Arial"/>
                <w:sz w:val="20"/>
                <w:szCs w:val="20"/>
              </w:rPr>
              <w:t>Doświadczenie eksperckie osoby przeznaczonej przez oferenta do realizacji zamówienia, nabyte w zakresie podobnych projektów.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pacing w:after="0"/>
              <w:jc w:val="both"/>
              <w:rPr>
                <w:rFonts w:ascii="Calibri Light" w:hAnsi="Calibri Light" w:cs="Arial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napToGrid w:val="0"/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942D78" w:rsidRDefault="00483879">
            <w:pPr>
              <w:snapToGrid w:val="0"/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SZT.</w:t>
            </w:r>
          </w:p>
        </w:tc>
      </w:tr>
    </w:tbl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483879">
      <w:pPr>
        <w:spacing w:after="0"/>
      </w:pP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>Ważności oferty: 31.12.2016 roku.</w:t>
      </w: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 xml:space="preserve">Załącznik nr 2 do </w:t>
      </w: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>zapytania ofertowego NICKEL/NR1/2016</w:t>
      </w:r>
    </w:p>
    <w:p w:rsidR="00942D78" w:rsidRDefault="00483879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>Oświadczenia Wykonawcy</w:t>
      </w:r>
    </w:p>
    <w:p w:rsidR="00942D78" w:rsidRDefault="00483879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sz w:val="20"/>
          <w:szCs w:val="20"/>
          <w:lang w:eastAsia="ar-SA"/>
        </w:rPr>
        <w:t>Ja(my) niżej podpisany(i) oświadczam(y), że:</w:t>
      </w:r>
    </w:p>
    <w:p w:rsidR="00942D78" w:rsidRDefault="00942D78">
      <w:pPr>
        <w:spacing w:after="0"/>
        <w:rPr>
          <w:rFonts w:ascii="Calibri Light" w:eastAsia="Times New Roman" w:hAnsi="Calibri Light" w:cs="Calibri"/>
          <w:b/>
          <w:sz w:val="20"/>
          <w:szCs w:val="20"/>
          <w:lang w:eastAsia="ar-SA"/>
        </w:rPr>
      </w:pPr>
    </w:p>
    <w:p w:rsidR="00942D78" w:rsidRDefault="00483879">
      <w:pPr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oświadczam, że znam i akceptuję warunki realizacji zamówienia określone  w zapytaniu ofertowym oraz nie wnoszę żadnych zastrzeżeń i uwag w tym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zakresie; </w:t>
      </w:r>
    </w:p>
    <w:p w:rsidR="00942D78" w:rsidRDefault="00483879">
      <w:pPr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posiadam uprawnienia do wykonywania określonej działalności  lub czynności, jeżeli ustawy nakładają obowiązek posiadania takich uprawnień;</w:t>
      </w:r>
    </w:p>
    <w:p w:rsidR="00942D78" w:rsidRDefault="00483879">
      <w:pPr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posiadam niezbędną wiedzę i doświadczenie oraz dysponuje odpowiednim potencjałem technicznym i osobami zdo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lnymi do wykonania zamówienia; </w:t>
      </w:r>
    </w:p>
    <w:p w:rsidR="00942D78" w:rsidRDefault="00483879">
      <w:pPr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znajduje się w sytuacji ekonomicznej i finansowej zapewniającej wykonanie zamówienia we wskazanych terminach;</w:t>
      </w:r>
    </w:p>
    <w:p w:rsidR="00942D78" w:rsidRDefault="00483879">
      <w:pPr>
        <w:numPr>
          <w:ilvl w:val="0"/>
          <w:numId w:val="2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poddam się </w:t>
      </w:r>
      <w:r>
        <w:rPr>
          <w:rFonts w:ascii="Calibri Light" w:hAnsi="Calibri Light"/>
          <w:iCs/>
          <w:sz w:val="20"/>
          <w:szCs w:val="20"/>
        </w:rPr>
        <w:t>dobrowolnemu naliczeniu kar w razie niewykonania lub nieterminowego lub nienależytego wykonania zobowią</w:t>
      </w:r>
      <w:r>
        <w:rPr>
          <w:rFonts w:ascii="Calibri Light" w:hAnsi="Calibri Light"/>
          <w:iCs/>
          <w:sz w:val="20"/>
          <w:szCs w:val="20"/>
        </w:rPr>
        <w:t>zania. Ewidencja księgowa kar umownych odbywać się na podstawie noty obciążeniowej;</w:t>
      </w:r>
    </w:p>
    <w:p w:rsidR="00942D78" w:rsidRDefault="00483879">
      <w:pPr>
        <w:numPr>
          <w:ilvl w:val="0"/>
          <w:numId w:val="2"/>
        </w:numPr>
        <w:spacing w:after="0"/>
        <w:jc w:val="both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wartość zrealizowanych przez Oferenta doradztw w obszarze zaawansowanych usług prototypowania oraz testowania zarówno produktów jak i usług w ostatnich 3 latach ( tj. w okr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esie od 01.11.2013 do 30.10.2016 roku) wyniosła łącznie powyżej 200 tyś PLN netto;</w:t>
      </w:r>
    </w:p>
    <w:p w:rsidR="00942D78" w:rsidRDefault="00483879">
      <w:pPr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usługa doradcza będąca przedmiotem oferty świadczona będzie na terenie Nickel Technology Park Poznań Sp. z o.o., ul. Krzemowa 1, 62-002 Suchy Las;</w:t>
      </w:r>
    </w:p>
    <w:p w:rsidR="00942D78" w:rsidRDefault="00483879">
      <w:pPr>
        <w:numPr>
          <w:ilvl w:val="0"/>
          <w:numId w:val="2"/>
        </w:numPr>
        <w:spacing w:after="0"/>
        <w:jc w:val="both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firma ……………………….. (jest/ni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e jest) powiązana osobowo lub kapitałowo z Zamawiającym. Przez powiązania osobowe lub kapitałowe rozumie się wzajemne powiązania pomiędzy Zamawiającym lub osobami upoważnionymi do zaciągania zobowiązań w imieniu Zamawiającego lub osobami</w:t>
      </w:r>
      <w:r>
        <w:rPr>
          <w:rFonts w:ascii="Calibri Light" w:eastAsia="Times New Roman" w:hAnsi="Calibri Light" w:cs="Calibri"/>
          <w:bCs/>
          <w:iCs/>
          <w:sz w:val="20"/>
          <w:szCs w:val="20"/>
          <w:lang w:eastAsia="ar-SA"/>
        </w:rPr>
        <w:t xml:space="preserve">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wykonującymi w imi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eniu Zamawiającego czynności związanych z przygotowaniem i przeprowadzeniem procedury wyboru Wykonawcy a Wykonawcą, polegające w szczególności na:  </w:t>
      </w:r>
    </w:p>
    <w:p w:rsidR="00942D78" w:rsidRDefault="00942D78">
      <w:pPr>
        <w:spacing w:after="0"/>
        <w:ind w:left="927"/>
        <w:jc w:val="both"/>
        <w:rPr>
          <w:rFonts w:ascii="Calibri Light" w:eastAsia="Times New Roman" w:hAnsi="Calibri Light" w:cs="Calibri"/>
          <w:bCs/>
          <w:iCs/>
          <w:sz w:val="20"/>
          <w:szCs w:val="20"/>
          <w:lang w:eastAsia="ar-SA"/>
        </w:rPr>
      </w:pPr>
    </w:p>
    <w:p w:rsidR="00942D78" w:rsidRDefault="00483879">
      <w:pPr>
        <w:spacing w:after="0"/>
        <w:ind w:left="1560" w:hanging="284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a)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ab/>
        <w:t>uczestniczeniu w spółce jako wspólnik spółki cywilnej lub spółki osobowej;</w:t>
      </w:r>
    </w:p>
    <w:p w:rsidR="00942D78" w:rsidRDefault="00483879">
      <w:pPr>
        <w:spacing w:after="0"/>
        <w:ind w:left="1560" w:hanging="284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b)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ab/>
        <w:t>posiadaniu co najmniej 10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% udziałów lub akcji;</w:t>
      </w:r>
    </w:p>
    <w:p w:rsidR="00942D78" w:rsidRDefault="00483879">
      <w:pPr>
        <w:spacing w:after="0"/>
        <w:ind w:left="1560" w:hanging="284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c)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:rsidR="00942D78" w:rsidRDefault="00483879">
      <w:pPr>
        <w:spacing w:after="0"/>
        <w:ind w:left="1560" w:hanging="284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d)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 w linii bocznej do drugiego stopnia  lub pozostawania w stosunku przysposobienia, opieki lub kurateli;</w:t>
      </w:r>
    </w:p>
    <w:p w:rsidR="00942D78" w:rsidRDefault="00483879">
      <w:pPr>
        <w:spacing w:after="0"/>
        <w:ind w:left="1560" w:hanging="284"/>
        <w:jc w:val="both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e)   </w:t>
      </w:r>
      <w:r>
        <w:rPr>
          <w:rFonts w:ascii="Calibri Light" w:eastAsia="Times New Roman" w:hAnsi="Calibri Light"/>
          <w:sz w:val="20"/>
          <w:szCs w:val="20"/>
          <w:lang w:eastAsia="ar-SA"/>
        </w:rPr>
        <w:t>pozostawaniu z wykonawcą w takim stosunku prawnym lub faktycznym, że może to budzić uzasadnione wątpliwości co do bezstronności tych osób;</w:t>
      </w:r>
    </w:p>
    <w:p w:rsidR="00942D78" w:rsidRDefault="00942D78">
      <w:pPr>
        <w:spacing w:after="0"/>
        <w:jc w:val="both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Miejscowość……………. ….……………..……, dnia………………….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br/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               </w:t>
      </w: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483879">
      <w:pPr>
        <w:spacing w:after="0"/>
        <w:jc w:val="right"/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 xml:space="preserve">  </w:t>
      </w:r>
      <w:r>
        <w:rPr>
          <w:rFonts w:ascii="Calibri Light" w:eastAsia="Times New Roman" w:hAnsi="Calibri Light" w:cs="Calibri"/>
          <w:i/>
          <w:sz w:val="20"/>
          <w:szCs w:val="20"/>
          <w:lang w:eastAsia="ar-SA"/>
        </w:rPr>
        <w:t>(podpis i pieczęć wystawcy oferty</w:t>
      </w: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p w:rsidR="00942D78" w:rsidRDefault="00942D78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942D78" w:rsidRDefault="0048387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 xml:space="preserve">Załącznik nr 3 </w:t>
      </w:r>
    </w:p>
    <w:p w:rsidR="00942D78" w:rsidRDefault="00483879">
      <w:pPr>
        <w:spacing w:after="0"/>
      </w:pP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 xml:space="preserve">do zapytania ofertowego NICKEL/NR1/2016                                                                                                 </w:t>
      </w:r>
      <w:r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b/>
          <w:bCs/>
          <w:sz w:val="20"/>
          <w:szCs w:val="20"/>
        </w:rPr>
        <w:t>Wykaz posiadanego doświadczenia eksperta w obszarze prowadzenia doradztw w tematyce rozwoju prod</w:t>
      </w:r>
      <w:r>
        <w:rPr>
          <w:rFonts w:ascii="Calibri Light" w:hAnsi="Calibri Light"/>
          <w:b/>
          <w:bCs/>
          <w:sz w:val="20"/>
          <w:szCs w:val="20"/>
        </w:rPr>
        <w:t>uktów lub/i usług</w:t>
      </w:r>
    </w:p>
    <w:p w:rsidR="00942D78" w:rsidRDefault="00483879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………………………………..……………………………</w:t>
      </w:r>
    </w:p>
    <w:p w:rsidR="00942D78" w:rsidRDefault="00483879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  <w:r>
        <w:rPr>
          <w:rFonts w:ascii="Calibri Light" w:eastAsia="Times New Roman" w:hAnsi="Calibri Light" w:cs="Calibri"/>
          <w:sz w:val="20"/>
          <w:szCs w:val="20"/>
          <w:lang w:eastAsia="ar-SA"/>
        </w:rPr>
        <w:t>Miejscowość, data</w:t>
      </w:r>
    </w:p>
    <w:p w:rsidR="00942D78" w:rsidRDefault="00942D78">
      <w:pPr>
        <w:spacing w:after="0"/>
        <w:jc w:val="right"/>
        <w:rPr>
          <w:rFonts w:ascii="Calibri Light" w:eastAsia="Times New Roman" w:hAnsi="Calibri Light" w:cs="Calibri"/>
          <w:sz w:val="20"/>
          <w:szCs w:val="20"/>
          <w:lang w:eastAsia="ar-SA"/>
        </w:rPr>
      </w:pPr>
    </w:p>
    <w:tbl>
      <w:tblPr>
        <w:tblW w:w="13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631"/>
        <w:gridCol w:w="1481"/>
        <w:gridCol w:w="3088"/>
        <w:gridCol w:w="3706"/>
        <w:gridCol w:w="3515"/>
      </w:tblGrid>
      <w:tr w:rsidR="00942D78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Imię i nazwisko eksperta przeznaczonego do realizacji przedmiotowego zlecenia</w:t>
            </w:r>
          </w:p>
        </w:tc>
        <w:tc>
          <w:tcPr>
            <w:tcW w:w="1179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Dotychczasowe doświadczenie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Termin realizacji doradztwa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Nazwa przeprowadzonego doradztwa </w:t>
            </w:r>
          </w:p>
        </w:tc>
        <w:tc>
          <w:tcPr>
            <w:tcW w:w="3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Podmiot na rzecz 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którego było przeprowadzone doradztwo i nr telefonu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483879">
            <w:pPr>
              <w:spacing w:before="360" w:after="120"/>
              <w:jc w:val="both"/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Referencje za doradztwa świadczone w okresie od 01.11.2013 do 30.10.2016</w:t>
            </w:r>
          </w:p>
        </w:tc>
      </w:tr>
      <w:tr w:rsidR="00942D7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483879">
            <w:pPr>
              <w:spacing w:before="360" w:after="12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6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  <w:tc>
          <w:tcPr>
            <w:tcW w:w="3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78" w:rsidRDefault="00942D78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D78" w:rsidRDefault="00942D78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</w:tr>
    </w:tbl>
    <w:p w:rsidR="00942D78" w:rsidRDefault="00483879">
      <w:pPr>
        <w:spacing w:before="132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…………………………………………………..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>(podpis i pieczęć wystawcy oferty)</w:t>
      </w:r>
    </w:p>
    <w:p w:rsidR="00942D78" w:rsidRDefault="00942D78">
      <w:pPr>
        <w:rPr>
          <w:rFonts w:ascii="Calibri Light" w:hAnsi="Calibri Light"/>
          <w:sz w:val="20"/>
          <w:szCs w:val="20"/>
        </w:rPr>
      </w:pPr>
    </w:p>
    <w:p w:rsidR="00942D78" w:rsidRDefault="00942D78">
      <w:pPr>
        <w:rPr>
          <w:rFonts w:ascii="Calibri Light" w:hAnsi="Calibri Light"/>
          <w:sz w:val="20"/>
          <w:szCs w:val="20"/>
        </w:rPr>
      </w:pPr>
    </w:p>
    <w:p w:rsidR="00942D78" w:rsidRDefault="00942D78">
      <w:pPr>
        <w:rPr>
          <w:rFonts w:ascii="Calibri Light" w:hAnsi="Calibri Light"/>
          <w:sz w:val="20"/>
          <w:szCs w:val="20"/>
        </w:rPr>
      </w:pPr>
    </w:p>
    <w:sectPr w:rsidR="00942D78">
      <w:headerReference w:type="default" r:id="rId10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79" w:rsidRDefault="00483879">
      <w:pPr>
        <w:spacing w:after="0"/>
      </w:pPr>
      <w:r>
        <w:separator/>
      </w:r>
    </w:p>
  </w:endnote>
  <w:endnote w:type="continuationSeparator" w:id="0">
    <w:p w:rsidR="00483879" w:rsidRDefault="00483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79" w:rsidRDefault="0048387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83879" w:rsidRDefault="004838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03" w:rsidRDefault="004838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26032</wp:posOffset>
          </wp:positionH>
          <wp:positionV relativeFrom="margin">
            <wp:posOffset>-1143630</wp:posOffset>
          </wp:positionV>
          <wp:extent cx="8897624" cy="984251"/>
          <wp:effectExtent l="0" t="0" r="0" b="6349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7624" cy="984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F0603" w:rsidRDefault="00483879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0603" w:rsidRDefault="00483879">
    <w:pPr>
      <w:pStyle w:val="Nagwek"/>
    </w:pPr>
  </w:p>
  <w:p w:rsidR="003F0603" w:rsidRDefault="00483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CBF"/>
    <w:multiLevelType w:val="multilevel"/>
    <w:tmpl w:val="5CEAEECA"/>
    <w:lvl w:ilvl="0">
      <w:start w:val="1"/>
      <w:numFmt w:val="decimal"/>
      <w:lvlText w:val="%1)"/>
      <w:lvlJc w:val="left"/>
      <w:pPr>
        <w:ind w:left="9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37E10"/>
    <w:multiLevelType w:val="multilevel"/>
    <w:tmpl w:val="F4283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D78"/>
    <w:rsid w:val="00483879"/>
    <w:rsid w:val="00531353"/>
    <w:rsid w:val="009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ick.pl/pl/web/recruitment/index/mail/biuro@younic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ni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Skomra</dc:creator>
  <cp:lastModifiedBy>Patrycja Matuszak</cp:lastModifiedBy>
  <cp:revision>2</cp:revision>
  <dcterms:created xsi:type="dcterms:W3CDTF">2016-11-30T08:29:00Z</dcterms:created>
  <dcterms:modified xsi:type="dcterms:W3CDTF">2016-11-30T08:29:00Z</dcterms:modified>
</cp:coreProperties>
</file>